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 apr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s 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partir de rencontres, de 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moignages et de mythes ancestraux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it-IT"/>
        </w:rPr>
        <w:t>colt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.e.s par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artiste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Rebekka Deubner au gr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ses voyages au Japon,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exposition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it-IT"/>
        </w:rPr>
        <w:t>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pt-PT"/>
        </w:rPr>
        <w:t>te apr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it-IT"/>
        </w:rPr>
        <w:t>è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pt-PT"/>
        </w:rPr>
        <w:t>s 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invite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immersion dans tous les champs de la vie humaine et non humaine, et dans leurs interrelations. Elle est le dernier volet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recherche photographique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but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 en 2014 sur les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miniscences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de la triple catastrophe du 11 mars 2011 dans la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fecture de Fukushima, tant dans les corps que dans les paysages qui ensemble composent ce territoire ab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î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L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 photographies de cette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rie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voquent une zone cr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pusculaire, par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finition sombre et froide mais qui grouille de vie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— 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image de ces algues captur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 de nuit au flash, abandonn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 aux cloportes sur les plages de Fukushima par les habitant.e.s qui ont cess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les ramasser pour soup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ç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on de contamination radioactive. Il y a quelque chose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organique dans ces algues luisant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 surface de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image, ne laissant jamais place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horizon. Une impression renforc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par leur mise en regard avec des photographies de 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me format dont le cadrage circonscrit des morceaux de visages, de chevelures,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oreilles ou de mains, mouill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.e.s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humidit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, de sueur, ou de larmes peut-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tre. Un oeil ouvert,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air pensif, semble se promener dans un ailleurs, alors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 autre se tient ferm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—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pour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mieux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voir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le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sent ou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en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chapper? 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me proc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que pour les algues venues des profondeurs de la mer, ces fragments de corps ont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captur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de fa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ç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on extr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mement rapproch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aide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 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objectif, invitant le regard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se plonger litt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ralement dans les pores de ces peaux. 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Dans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exposition, la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rie se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roule tel un ruban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images se succ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dant,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tes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se mettre en mouvement, comme si elles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taient en cours de montage au sens cin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matographique du terme. En contrepoint, une photographie, plus grande, vient rompre le rythme, rappel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rie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dente,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 xml:space="preserve">Des filles la mer et une grotte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(2014) con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ç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ue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partir du mythe fondateur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Amaterasu O mi kami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,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esse du soleil dans le shinto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ï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sme, cet ensemble de croyances qui soutient la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sence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alit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abstraite, anim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et divine en toute chose.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histoire raconte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action aux provocations de son fr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re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Susanoo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, le dieu des temp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tes,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Amaterasu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se serait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fugi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dans une grotte plongeant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univers dans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obscurit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et le chaos. Tir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 livre consacr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cette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rie</w:t>
      </w: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</w:rPr>
        <w:footnoteReference w:id="1"/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,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image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jeune femme dormant, avec en surimpression celle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plage, teinte en arri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re-fond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exposition de ces croyances animistes par ses jeux de textures. Elle est une sorte de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corps-paysage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, entre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subjectivation de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environnement et environnementalisation du sujet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 »</w:t>
      </w: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</w:rPr>
        <w:footnoteReference w:id="2"/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. 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vid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o, construite de bribes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 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moignage enregistr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par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artiste aupr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autre jeune femme rencontr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Fukushima, donne voix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ensemble. Keiko y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crit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avant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 »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et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 »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catastrophe,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luttant mentalement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 »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contre ce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elle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finit comme deux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alit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en elle, le souvenir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 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vie heureuse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 »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avant 2011, et le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sent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 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vie correcte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 »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post-traumatique. Le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cit de ses paroles entrelac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v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le la mani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 dont la catastrophe est entr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dans son corps, mais aussi dans celui de sa communaut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pour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y nicher, mentalement, socialement et territorialement. Ce triple p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ril 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est pas sans rappeler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avertissement du philosophe F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lix Guattari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s 1989 dans ses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 xml:space="preserve">Trois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cologies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, soit la 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cessit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penser dans nos soci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capitalistes, la corr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lation entre ce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nomme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cologie mentale,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cologie sociale et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cologie environnementale. Par cette articulation, il exprime le fait que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les perturbations environnementales ne sont que la partie visible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pt-PT"/>
        </w:rPr>
        <w:t>un mal plus profond et plus consid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rable, relatif aux fa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ç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ons de vivre et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tre en soci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sur la plan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it-IT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te et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convient de faire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en-US"/>
        </w:rPr>
        <w:t xml:space="preserve">tayer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ces diff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rentes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cologies pour recomposer d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en-US"/>
        </w:rPr>
        <w:t>es subjectivit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s individuelles et collectives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 Un enchev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trement que la catastrophe de Fukushima 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 fait que re-d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voiler, tant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chelle de ses causes que de ses cons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quences. 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fa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ç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on abstraite,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 apr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s 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touche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ces diff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rentes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cologies. Pour exemple dans la vid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o, les variations de couleurs roses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cran semblent figurer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 fois le grain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peau film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de trop 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et un ciel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embrasant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heure 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ù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le soleil se couche (ou se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ve). Quant aux mots de Keiko, ils convoquent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agitation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 fois intime et collective, psychologique et politique,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clench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 par la catastrophe. De 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me, la mise au point dans les photographies diff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rent et tournent autour de ce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importe de saisir. 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ù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faire le point? 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ù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mettre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accent? Sur un horizon bouch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ou sur une algue contamin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e? Sur une centrale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lectrique ou sur un visage? Fatalement sur tout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 fois.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Derri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re ce dispositif artistique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—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de la prise de vue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exposition de ses photographies, se joue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enjeu de la recherche de Rebekka Deubner. Il ne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agit pas de donner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voir le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sastre dans ce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a de spectaculaire, mais au contraire d'en signifier ses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quelles et ce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tamorphose au plus profond des corps,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il soit humain, animal ou v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g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tal. Des corps qui deviennent politiques par la mani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re dont ils tentent de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« 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sortir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soci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pendance pour trouver des forces dans des situations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interd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pendance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 »</w:t>
      </w: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</w:rPr>
        <w:footnoteReference w:id="3"/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 En choisissant dans ses cadrages de morceler la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alit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post-Fukushima, la photographe fait bien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videmment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cho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parpillement de cette communaut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mais aussi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la destruction des liens qui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unissaient. Elle montre comment la catastrophe a ainsi emport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avec elle nombre de gestes quotidiens, de ceux qui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relient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 une collectivit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é à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son milieu de vie. Arr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ter de ramasser des algues pour fertiliser les terres ou pour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 nourrir n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en est qu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 exemple parmi tant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autres.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esth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tique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flexive et la strat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gie visuelle mises en place par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artiste contiennent ainsi les tensions et les complexit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 qui caract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risent les processus de repr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sentation, de m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moire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—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de gu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rison?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—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une catastrophe,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origine naturelle ou humaine. Car prendre soin des mani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res de raconter quels que soient les moyens que l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on 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accorde (ici fragmenter, d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couper,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agencer, raccommoder) apparait comme un acte de r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paration dans cette exposition 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ù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invite une po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tique 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minemment politique, o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 xml:space="preserve">ù 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s</w:t>
      </w: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 xml:space="preserve">inventent des amulettes, 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 apr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s temp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6"/>
          <w:szCs w:val="26"/>
          <w:u w:color="383f4e"/>
          <w:shd w:val="clear" w:color="auto" w:fill="ffffff"/>
          <w:rtl w:val="0"/>
          <w:lang w:val="fr-FR"/>
        </w:rPr>
        <w:t>te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</w:rPr>
      </w:pPr>
    </w:p>
    <w:p>
      <w:pPr>
        <w:pStyle w:val="Par défaut"/>
      </w:pPr>
      <w:r>
        <w:rPr>
          <w:rFonts w:ascii="Times New Roman" w:hAnsi="Times New Roman" w:hint="default"/>
          <w:sz w:val="26"/>
          <w:szCs w:val="26"/>
          <w:u w:color="383f4e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color="383f4e"/>
          <w:shd w:val="clear" w:color="auto" w:fill="ffffff"/>
          <w:rtl w:val="0"/>
          <w:lang w:val="fr-FR"/>
        </w:rPr>
        <w:t>lodie Royer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</w:pP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  <w:lang w:val="fr-FR"/>
        </w:rPr>
        <w:footnoteRef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fr-FR"/>
        </w:rPr>
        <w:t xml:space="preserve">Rebekka Deubner, </w:t>
      </w:r>
      <w:r>
        <w:rPr>
          <w:rFonts w:ascii="Times New Roman" w:hAnsi="Times New Roman"/>
          <w:i w:val="1"/>
          <w:iCs w:val="1"/>
          <w:rtl w:val="0"/>
          <w:lang w:val="fr-FR"/>
        </w:rPr>
        <w:t>Des filles la mer et une grotte</w:t>
      </w:r>
      <w:r>
        <w:rPr>
          <w:rFonts w:ascii="Times New Roman" w:hAnsi="Times New Roman"/>
          <w:rtl w:val="0"/>
          <w:lang w:val="fr-FR"/>
        </w:rPr>
        <w:t>, livre auto-produit, 2015</w:t>
      </w:r>
    </w:p>
  </w:footnote>
  <w:footnote w:id="2">
    <w:p>
      <w:pPr>
        <w:pStyle w:val="Note de bas de page"/>
      </w:pP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</w:rPr>
        <w:footnoteRef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fr-FR"/>
        </w:rPr>
        <w:t xml:space="preserve">en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cho avec la pens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 xml:space="preserve">Imanishi Kinji </w:t>
      </w:r>
      <w:r>
        <w:rPr>
          <w:rFonts w:ascii="Times New Roman" w:hAnsi="Times New Roman"/>
          <w:rtl w:val="0"/>
        </w:rPr>
        <w:t>(1902-1992)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/>
          <w:rtl w:val="0"/>
          <w:lang w:val="it-IT"/>
        </w:rPr>
        <w:t>naturaliste</w:t>
      </w:r>
      <w:r>
        <w:rPr>
          <w:rFonts w:ascii="Times New Roman" w:hAnsi="Times New Roman"/>
          <w:rtl w:val="0"/>
          <w:lang w:val="fr-FR"/>
        </w:rPr>
        <w:t xml:space="preserve"> et pionnier de l'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cologie</w:t>
      </w:r>
    </w:p>
  </w:footnote>
  <w:footnote w:id="3">
    <w:p>
      <w:pPr>
        <w:pStyle w:val="Note de bas de page"/>
      </w:pPr>
      <w:r>
        <w:rPr>
          <w:rFonts w:ascii="Times New Roman" w:cs="Times New Roman" w:hAnsi="Times New Roman" w:eastAsia="Times New Roman"/>
          <w:sz w:val="26"/>
          <w:szCs w:val="26"/>
          <w:u w:color="383f4e"/>
          <w:shd w:val="clear" w:color="auto" w:fill="ffffff"/>
          <w:vertAlign w:val="superscript"/>
          <w:lang w:val="fr-FR"/>
        </w:rPr>
        <w:footnoteRef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fr-FR"/>
        </w:rPr>
        <w:t xml:space="preserve">Isabelle Stengers, </w:t>
      </w:r>
      <w:r>
        <w:rPr>
          <w:rFonts w:ascii="Times New Roman" w:hAnsi="Times New Roman"/>
          <w:i w:val="1"/>
          <w:iCs w:val="1"/>
          <w:rtl w:val="0"/>
          <w:lang w:val="fr-FR"/>
        </w:rPr>
        <w:t>R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  <w:lang w:val="fr-FR"/>
        </w:rPr>
        <w:t>sister au d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rtl w:val="0"/>
          <w:lang w:val="fr-FR"/>
        </w:rPr>
        <w:t>sastre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n-US"/>
        </w:rPr>
        <w:t>ditions Wildproject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/>
          <w:rtl w:val="0"/>
        </w:rPr>
        <w:t>2019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